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color w:val="000000" w:themeColor="text1"/>
          <w:szCs w:val="32"/>
        </w:rPr>
      </w:pPr>
      <w:r>
        <w:rPr>
          <w:color w:val="000000" w:themeColor="text1"/>
          <w:szCs w:val="32"/>
        </w:rPr>
        <w:t xml:space="preserve">  </w:t>
      </w:r>
    </w:p>
    <w:p>
      <w:pPr>
        <w:spacing w:line="600" w:lineRule="exact"/>
        <w:ind w:left="105" w:leftChars="50" w:right="105" w:rightChars="50" w:firstLine="1940" w:firstLineChars="441"/>
        <w:rPr>
          <w:rFonts w:ascii="方正小标宋简体" w:hAnsi="宋体" w:eastAsia="方正小标宋简体" w:cs="宋体"/>
          <w:color w:val="000000" w:themeColor="text1"/>
          <w:sz w:val="44"/>
          <w:szCs w:val="44"/>
        </w:rPr>
      </w:pPr>
      <w:r>
        <w:rPr>
          <w:rFonts w:hint="eastAsia" w:ascii="方正小标宋简体" w:hAnsi="宋体" w:eastAsia="方正小标宋简体" w:cs="宋体"/>
          <w:color w:val="000000" w:themeColor="text1"/>
          <w:sz w:val="44"/>
          <w:szCs w:val="44"/>
        </w:rPr>
        <w:t>邵武市人民检察院工作报告</w:t>
      </w:r>
    </w:p>
    <w:p>
      <w:pPr>
        <w:spacing w:line="600" w:lineRule="exact"/>
        <w:ind w:firstLine="2960" w:firstLineChars="925"/>
        <w:rPr>
          <w:rFonts w:ascii="黑体" w:eastAsia="黑体"/>
          <w:color w:val="000000" w:themeColor="text1"/>
          <w:sz w:val="32"/>
          <w:szCs w:val="32"/>
        </w:rPr>
      </w:pPr>
      <w:bookmarkStart w:id="0" w:name="_GoBack"/>
      <w:bookmarkEnd w:id="0"/>
      <w:r>
        <w:rPr>
          <w:rFonts w:hint="eastAsia" w:ascii="黑体" w:eastAsia="黑体"/>
          <w:color w:val="000000" w:themeColor="text1"/>
          <w:sz w:val="32"/>
          <w:szCs w:val="32"/>
        </w:rPr>
        <w:t>2020年的主要工作</w:t>
      </w:r>
    </w:p>
    <w:p>
      <w:pPr>
        <w:spacing w:line="600" w:lineRule="exact"/>
        <w:rPr>
          <w:rFonts w:ascii="仿宋_GB2312" w:eastAsia="仿宋_GB2312"/>
          <w:color w:val="000000" w:themeColor="text1"/>
          <w:sz w:val="32"/>
          <w:szCs w:val="32"/>
        </w:rPr>
      </w:pPr>
    </w:p>
    <w:p>
      <w:pPr>
        <w:spacing w:line="600" w:lineRule="exact"/>
        <w:ind w:firstLine="620" w:firstLineChars="194"/>
        <w:rPr>
          <w:rFonts w:ascii="仿宋_GB2312" w:eastAsia="仿宋_GB2312"/>
          <w:color w:val="000000" w:themeColor="text1"/>
          <w:sz w:val="32"/>
          <w:szCs w:val="32"/>
        </w:rPr>
      </w:pPr>
      <w:r>
        <w:rPr>
          <w:rFonts w:hint="eastAsia" w:ascii="仿宋_GB2312" w:eastAsia="仿宋_GB2312"/>
          <w:color w:val="000000" w:themeColor="text1"/>
          <w:sz w:val="32"/>
          <w:szCs w:val="32"/>
        </w:rPr>
        <w:t>2020年，在市委和上级院的坚强领导下，在市人大及其常委会的有力监督下，邵武市检察院坚持以习近平新时代中国特色社会主义思想为指导，全面贯彻党的十九大和十九届二中、三中、四中、五中全会精神，认真落实市十七届人大四次会议决议，紧紧围绕改革发展稳定大局履职尽责，推动检察工作在持续深化改革中取得了新成绩。</w:t>
      </w:r>
    </w:p>
    <w:p>
      <w:pPr>
        <w:spacing w:line="600" w:lineRule="exact"/>
        <w:ind w:firstLine="784" w:firstLineChars="245"/>
        <w:rPr>
          <w:rFonts w:ascii="黑体" w:eastAsia="黑体"/>
          <w:color w:val="000000" w:themeColor="text1"/>
          <w:sz w:val="32"/>
          <w:szCs w:val="32"/>
        </w:rPr>
      </w:pPr>
      <w:r>
        <w:rPr>
          <w:rFonts w:hint="eastAsia" w:ascii="黑体" w:eastAsia="黑体"/>
          <w:color w:val="000000" w:themeColor="text1"/>
          <w:sz w:val="32"/>
          <w:szCs w:val="32"/>
        </w:rPr>
        <w:t xml:space="preserve">一、发挥检察职能，扛起使命担当 </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始终坚持党对检察工作的绝对领导，主动在服务大局、为民司法中发挥检察职能作用。</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1.切实履行支持疫情防控战的政治责任。</w:t>
      </w:r>
      <w:r>
        <w:rPr>
          <w:rFonts w:hint="eastAsia" w:ascii="仿宋_GB2312" w:eastAsia="仿宋_GB2312"/>
          <w:color w:val="000000" w:themeColor="text1"/>
          <w:sz w:val="32"/>
          <w:szCs w:val="32"/>
        </w:rPr>
        <w:t xml:space="preserve">积极开展公共卫生领域公益诉讼探索，针对部分乡镇、街道和职能部门在废弃口罩回收处理方面存在的公共卫生环境安全问题，加强调查核实，从中立案22件，发出检察建议督促整改，守护公共卫生领域安全。坚决严惩、快惩利用疫情诈骗犯罪，依法对陈某某利用疫情以出售口罩名义实施刑事犯罪的案件提起公诉，维护社会秩序和人民群众生命财产安全。在开展涉新型冠状病毒行政检察监督中，对3起因职能部门履行安全监管职责不到位问题发出检察建议，助力建章堵漏，彰显战疫前线检察力量，该案件入选福建省检察机关办理涉新冠肺炎疫情第二批典型案例。充分运用检察微信、微博平台，发布司法信息，宣传疫情防控、维护企业复工复产相关法律政策和经验做法，促进企业提升风险防控能力。 </w:t>
      </w:r>
    </w:p>
    <w:p>
      <w:pPr>
        <w:spacing w:line="600" w:lineRule="exact"/>
        <w:ind w:firstLine="640" w:firstLineChars="200"/>
        <w:rPr>
          <w:rFonts w:ascii="仿宋_GB2312" w:eastAsia="仿宋_GB2312"/>
          <w:sz w:val="32"/>
          <w:szCs w:val="32"/>
        </w:rPr>
      </w:pPr>
      <w:r>
        <w:rPr>
          <w:rFonts w:hint="eastAsia" w:ascii="楷体_GB2312" w:eastAsia="楷体_GB2312"/>
          <w:color w:val="000000" w:themeColor="text1"/>
          <w:sz w:val="32"/>
          <w:szCs w:val="32"/>
        </w:rPr>
        <w:t>2.坚决打好扫黑除恶收官之战。</w:t>
      </w:r>
      <w:r>
        <w:rPr>
          <w:rFonts w:hint="eastAsia" w:ascii="仿宋_GB2312" w:hAnsi="仿宋_GB2312" w:eastAsia="仿宋_GB2312" w:cs="仿宋_GB2312"/>
          <w:color w:val="000000" w:themeColor="text1"/>
          <w:sz w:val="32"/>
          <w:szCs w:val="32"/>
        </w:rPr>
        <w:t>作为南平市涉黑犯罪案件集中管辖试点单位，负责办理邵武、延平、武夷山、顺昌、光泽五地的黑社会性质组织犯罪及其“保护伞”案件。在时间紧、任务重的情况下，</w:t>
      </w:r>
      <w:r>
        <w:rPr>
          <w:rFonts w:hint="eastAsia" w:ascii="仿宋_GB2312" w:hAnsi="宋体" w:eastAsia="仿宋_GB2312" w:cs="宋体"/>
          <w:sz w:val="32"/>
          <w:szCs w:val="32"/>
        </w:rPr>
        <w:t>坚持以案件质量、效率、效果为导向，</w:t>
      </w:r>
      <w:r>
        <w:rPr>
          <w:rFonts w:hint="eastAsia" w:ascii="仿宋_GB2312" w:eastAsia="仿宋_GB2312"/>
          <w:color w:val="000000" w:themeColor="text1"/>
          <w:sz w:val="32"/>
          <w:szCs w:val="32"/>
        </w:rPr>
        <w:t>全力攻坚，加快案件“清结”工作。依法</w:t>
      </w:r>
      <w:r>
        <w:rPr>
          <w:rFonts w:hint="eastAsia" w:ascii="仿宋_GB2312" w:hAnsi="微软雅黑" w:eastAsia="仿宋_GB2312"/>
          <w:color w:val="000000" w:themeColor="text1"/>
          <w:sz w:val="32"/>
          <w:szCs w:val="32"/>
        </w:rPr>
        <w:t>提起公诉4件27人，其中涉黑案件1件20人、涉黑“保护伞”案件2件2人、恶势力犯罪团伙1件5人。在办理</w:t>
      </w:r>
      <w:r>
        <w:rPr>
          <w:rFonts w:hint="eastAsia" w:ascii="仿宋_GB2312" w:hAnsi="宋体" w:eastAsia="仿宋_GB2312" w:cs="宋体"/>
          <w:sz w:val="32"/>
          <w:szCs w:val="32"/>
        </w:rPr>
        <w:t>江某某等20人组织、领导、参加黑社会性质组织案件中，发扬“5+2”“白加黑”的连续作战精神，仅用20日即完成案件的审查、起诉工作，达到积存案件全部清结目标。</w:t>
      </w:r>
      <w:r>
        <w:rPr>
          <w:rFonts w:hint="eastAsia" w:ascii="仿宋_GB2312" w:hAnsi="微软雅黑" w:eastAsia="仿宋_GB2312"/>
          <w:color w:val="000000" w:themeColor="text1"/>
          <w:sz w:val="32"/>
          <w:szCs w:val="32"/>
        </w:rPr>
        <w:t>注重深挖彻查，破除“关系网”“保护伞”，发现并移送线索1件。</w:t>
      </w:r>
      <w:r>
        <w:rPr>
          <w:rFonts w:hint="eastAsia" w:ascii="仿宋_GB2312" w:eastAsia="仿宋_GB2312"/>
          <w:color w:val="000000" w:themeColor="text1"/>
          <w:sz w:val="32"/>
          <w:szCs w:val="32"/>
        </w:rPr>
        <w:t>坚持以案溯源，以案促改，推动涉黑涉恶整治检察建议全覆盖。针对本市某乡镇连续发生2起恶势力团伙犯罪案件，向案发所在地政府发出加强法治教育、强化农村治理的检察建议；针对张某某黑社会案件中发现的金融监管问题，首次以公开宣告方式向建阳区农村信用合作社送达检察建议，规范信贷行为。</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3.持续优化法治营商环境。</w:t>
      </w:r>
      <w:r>
        <w:rPr>
          <w:rFonts w:hint="eastAsia" w:ascii="仿宋_GB2312" w:hAnsi="宋体" w:eastAsia="仿宋_GB2312" w:cs="宋体"/>
          <w:kern w:val="0"/>
          <w:sz w:val="32"/>
          <w:szCs w:val="32"/>
        </w:rPr>
        <w:t>坚持依法保障企业权益与促进守法合规经营并重，</w:t>
      </w:r>
      <w:r>
        <w:rPr>
          <w:rFonts w:hint="eastAsia" w:ascii="仿宋_GB2312" w:eastAsia="仿宋_GB2312"/>
          <w:color w:val="000000" w:themeColor="text1"/>
          <w:sz w:val="32"/>
          <w:szCs w:val="32"/>
        </w:rPr>
        <w:t xml:space="preserve">对侦查机关既未撤案又未移送审查起诉、长期搁置的涉企“挂案”进行专项清理，排查出3件，已督促撤案1件，作出构罪不捕决定1件，督促抓紧办理1件，让企业轻装上阵、安心经营。携手生态环境局、金塘工业园区管委会到绿益新环保产业有限公司，开展新版排污许可证专题讲座和“知识产权与健康中国”主题活动，帮助企业拧紧“安全阀”。举办“服务‘六稳’‘六保’护航民企发展”检察开放日活动，邀请市工商联和民营企业家代表座谈交流，零距离倾听企业心声，了解企业司法需求，切切实实帮助企业更好更快发展。 </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4.积极参与市域社会治理。</w:t>
      </w:r>
      <w:r>
        <w:rPr>
          <w:rFonts w:hint="eastAsia" w:ascii="仿宋_GB2312" w:eastAsia="仿宋_GB2312"/>
          <w:color w:val="000000" w:themeColor="text1"/>
          <w:sz w:val="32"/>
          <w:szCs w:val="32"/>
        </w:rPr>
        <w:t>认真落实市委关于推进市域社会治理现代化的部署要求，坚持一手抓办案、一手抓长效长治，为市域治理提供检察支持。制发的关于净化市场经营秩序、加强畜禽屠宰市场监管的检察建议获得全省检察机关扫黑除恶专项斗争优秀检察建议提名，系南平市唯一获得提名的检察建议。弘扬法治精神，促进全民守法，开展“法律十进百场宣讲”和新时代检察宣传周活动30次，听众近8000余人。用心用情做好群众信访工作，对接收的27件来信，全部做到“7日内程序性回复、3个月内实体性答复”，努力从源头上化解矛盾纠纷。扎实推动司法救助与精准脱贫衔接，发放救助金24万元，防止刑事被害人或其近亲属因案致贫、因案返贫。</w:t>
      </w:r>
    </w:p>
    <w:p>
      <w:pPr>
        <w:spacing w:line="600" w:lineRule="exact"/>
        <w:ind w:firstLine="627" w:firstLineChars="196"/>
        <w:rPr>
          <w:rFonts w:ascii="黑体" w:eastAsia="黑体"/>
          <w:color w:val="000000" w:themeColor="text1"/>
          <w:sz w:val="32"/>
          <w:szCs w:val="32"/>
        </w:rPr>
      </w:pPr>
      <w:r>
        <w:rPr>
          <w:rFonts w:hint="eastAsia" w:ascii="黑体" w:eastAsia="黑体"/>
          <w:color w:val="000000" w:themeColor="text1"/>
          <w:sz w:val="32"/>
          <w:szCs w:val="32"/>
        </w:rPr>
        <w:t>二、践行“四大检察”，维护司法公正</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大力推进刑事、民事、行政、公益诉讼“四大检察”全面协调充分发展，为经济社会发展提供更实更好的法治产品、检察产品。</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1.做优刑事检察。</w:t>
      </w:r>
      <w:r>
        <w:rPr>
          <w:rFonts w:hint="eastAsia" w:ascii="仿宋_GB2312" w:eastAsia="仿宋_GB2312"/>
          <w:color w:val="000000" w:themeColor="text1"/>
          <w:sz w:val="32"/>
          <w:szCs w:val="32"/>
        </w:rPr>
        <w:t>切实履行批捕、起诉职责，</w:t>
      </w:r>
      <w:r>
        <w:rPr>
          <w:rFonts w:hint="eastAsia" w:ascii="仿宋_GB2312" w:eastAsia="仿宋_GB2312" w:cs="楷体_GB2312"/>
          <w:bCs/>
          <w:sz w:val="32"/>
          <w:szCs w:val="32"/>
        </w:rPr>
        <w:t>严厉打击各类刑事犯罪活动，</w:t>
      </w:r>
      <w:r>
        <w:rPr>
          <w:rFonts w:hint="eastAsia" w:ascii="仿宋_GB2312" w:hAnsi="仿宋" w:eastAsia="仿宋_GB2312" w:cs="宋体"/>
          <w:color w:val="000000"/>
          <w:kern w:val="0"/>
          <w:sz w:val="32"/>
          <w:szCs w:val="32"/>
        </w:rPr>
        <w:t>不断增强人民群众的获得感、幸福感和安全感。</w:t>
      </w:r>
      <w:r>
        <w:rPr>
          <w:rFonts w:hint="eastAsia" w:ascii="仿宋_GB2312" w:eastAsia="仿宋_GB2312"/>
          <w:color w:val="000000" w:themeColor="text1"/>
          <w:sz w:val="32"/>
          <w:szCs w:val="32"/>
        </w:rPr>
        <w:t>共批准逮捕犯罪嫌疑人71人，决定逮捕5人（其中职务犯罪嫌疑人2人），提起公诉281人，有罪判决率达100%，免刑率仅为1.64%。</w:t>
      </w:r>
      <w:r>
        <w:rPr>
          <w:rFonts w:hint="eastAsia" w:ascii="仿宋_GB2312" w:hAnsi="仿宋" w:eastAsia="仿宋_GB2312" w:cs="宋体"/>
          <w:color w:val="000000"/>
          <w:kern w:val="0"/>
          <w:sz w:val="32"/>
          <w:szCs w:val="32"/>
        </w:rPr>
        <w:t>对人民群众反映强烈的</w:t>
      </w:r>
      <w:r>
        <w:rPr>
          <w:rFonts w:hint="eastAsia" w:ascii="仿宋_GB2312" w:hAnsi="宋体" w:eastAsia="仿宋_GB2312" w:cs="宋体"/>
          <w:sz w:val="32"/>
          <w:szCs w:val="32"/>
        </w:rPr>
        <w:t>电信网络诈骗案件</w:t>
      </w:r>
      <w:r>
        <w:rPr>
          <w:rFonts w:hint="eastAsia" w:ascii="仿宋_GB2312" w:hAnsi="仿宋" w:eastAsia="仿宋_GB2312" w:cs="宋体"/>
          <w:color w:val="000000"/>
          <w:kern w:val="0"/>
          <w:sz w:val="32"/>
          <w:szCs w:val="32"/>
        </w:rPr>
        <w:t>重拳出击，依法</w:t>
      </w:r>
      <w:r>
        <w:rPr>
          <w:rFonts w:hint="eastAsia" w:ascii="仿宋_GB2312" w:hAnsi="宋体" w:eastAsia="仿宋_GB2312" w:cs="宋体"/>
          <w:sz w:val="32"/>
          <w:szCs w:val="32"/>
        </w:rPr>
        <w:t>出庭支持公诉104人，有力打击了犯罪分子的嚣张气焰。积极参与“断卡”行动，批准逮捕帮助信息网络犯罪、妨害信用卡管理等犯罪嫌疑人14人，从源头遏制电信网络诈骗高发多发态势。</w:t>
      </w:r>
      <w:r>
        <w:rPr>
          <w:rFonts w:hint="eastAsia" w:ascii="仿宋_GB2312" w:hAnsi="??" w:eastAsia="仿宋_GB2312" w:cs="楷体_GB2312"/>
          <w:bCs/>
          <w:color w:val="000000"/>
          <w:sz w:val="32"/>
          <w:szCs w:val="32"/>
        </w:rPr>
        <w:t>坚持惩治犯罪与保障人权并重，</w:t>
      </w:r>
      <w:r>
        <w:rPr>
          <w:rFonts w:hint="eastAsia" w:ascii="仿宋_GB2312" w:hAnsi="??" w:eastAsia="仿宋_GB2312" w:cs="仿宋_GB2312"/>
          <w:color w:val="000000"/>
          <w:sz w:val="32"/>
          <w:szCs w:val="32"/>
        </w:rPr>
        <w:t>对涉嫌犯罪但无逮捕必要的决定不捕37人，对犯罪情节轻微、依法可不判处刑罚的决定不起诉64人。</w:t>
      </w:r>
      <w:r>
        <w:rPr>
          <w:rFonts w:hint="eastAsia" w:ascii="仿宋_GB2312" w:eastAsia="仿宋_GB2312"/>
          <w:color w:val="000000" w:themeColor="text1"/>
          <w:sz w:val="32"/>
          <w:szCs w:val="32"/>
        </w:rPr>
        <w:t>坚持“在监督中办案、在办案中监督”，推动案件质量与监督效果同步提升。共监督撤案1件，纠正漏诉3人，</w:t>
      </w:r>
      <w:r>
        <w:rPr>
          <w:rFonts w:hint="eastAsia" w:ascii="仿宋_GB2312" w:eastAsia="仿宋_GB2312"/>
          <w:sz w:val="32"/>
          <w:szCs w:val="32"/>
        </w:rPr>
        <w:t>改变定性9件，</w:t>
      </w:r>
      <w:r>
        <w:rPr>
          <w:rFonts w:hint="eastAsia" w:ascii="仿宋_GB2312" w:eastAsia="仿宋_GB2312"/>
          <w:color w:val="000000" w:themeColor="text1"/>
          <w:sz w:val="32"/>
          <w:szCs w:val="32"/>
        </w:rPr>
        <w:t>纠正侦查活动中的违法行为1件次。依托“两法衔接”平台，监督行政机关移送线索并立案1件。强化刑事执行检察监督。围绕</w:t>
      </w:r>
      <w:r>
        <w:rPr>
          <w:rFonts w:hint="eastAsia" w:ascii="仿宋_GB2312" w:hAnsi="仿宋_GB2312" w:eastAsia="仿宋_GB2312" w:cs="仿宋_GB2312"/>
          <w:color w:val="000000" w:themeColor="text1"/>
          <w:sz w:val="32"/>
          <w:szCs w:val="32"/>
        </w:rPr>
        <w:t>暂予监外执行罪犯病情复查、未成年社区矫正对象、剥夺政治权利刑罚执行三个专题深入</w:t>
      </w:r>
      <w:r>
        <w:rPr>
          <w:rFonts w:hint="eastAsia" w:ascii="仿宋_GB2312" w:eastAsia="仿宋_GB2312"/>
          <w:color w:val="000000" w:themeColor="text1"/>
          <w:sz w:val="32"/>
          <w:szCs w:val="32"/>
        </w:rPr>
        <w:t>推进社区矫正检察。将财产刑日常检察与涉黑涉恶财产刑专项检察结合，从中督促法院</w:t>
      </w:r>
      <w:r>
        <w:rPr>
          <w:rFonts w:hint="eastAsia" w:ascii="仿宋_GB2312" w:hAnsi="宋体" w:eastAsia="仿宋_GB2312"/>
          <w:color w:val="000000" w:themeColor="text1"/>
          <w:kern w:val="0"/>
          <w:sz w:val="32"/>
          <w:szCs w:val="32"/>
        </w:rPr>
        <w:t>立案执行8件</w:t>
      </w:r>
      <w:r>
        <w:rPr>
          <w:rFonts w:hint="eastAsia" w:ascii="仿宋_GB2312" w:eastAsia="仿宋_GB2312"/>
          <w:color w:val="000000" w:themeColor="text1"/>
          <w:sz w:val="32"/>
          <w:szCs w:val="32"/>
        </w:rPr>
        <w:t>，已</w:t>
      </w:r>
      <w:r>
        <w:rPr>
          <w:rFonts w:hint="eastAsia" w:ascii="仿宋_GB2312" w:hAnsi="宋体" w:eastAsia="仿宋_GB2312"/>
          <w:color w:val="000000" w:themeColor="text1"/>
          <w:kern w:val="0"/>
          <w:sz w:val="32"/>
          <w:szCs w:val="32"/>
        </w:rPr>
        <w:t>执行到位129万余元。</w:t>
      </w:r>
      <w:r>
        <w:rPr>
          <w:rFonts w:hint="eastAsia" w:ascii="仿宋_GB2312" w:eastAsia="仿宋_GB2312"/>
          <w:color w:val="000000" w:themeColor="text1"/>
          <w:sz w:val="32"/>
          <w:szCs w:val="32"/>
        </w:rPr>
        <w:t>扎实推进反腐败斗争，立案查处上级院交办的司法工作人员职务犯罪案件2件2人。</w:t>
      </w:r>
      <w:r>
        <w:rPr>
          <w:rFonts w:hint="eastAsia" w:ascii="仿宋_GB2312" w:hAnsi="宋体" w:eastAsia="仿宋_GB2312"/>
          <w:color w:val="000000" w:themeColor="text1"/>
          <w:sz w:val="32"/>
          <w:szCs w:val="32"/>
        </w:rPr>
        <w:t>全年对</w:t>
      </w:r>
      <w:r>
        <w:rPr>
          <w:rFonts w:hint="eastAsia" w:ascii="仿宋_GB2312" w:hAnsi="宋体" w:eastAsia="仿宋_GB2312"/>
          <w:color w:val="000000" w:themeColor="text1"/>
          <w:kern w:val="0"/>
          <w:sz w:val="32"/>
          <w:szCs w:val="32"/>
        </w:rPr>
        <w:t>监管活动</w:t>
      </w:r>
      <w:r>
        <w:rPr>
          <w:rFonts w:hint="eastAsia" w:ascii="仿宋_GB2312" w:hAnsi="宋体" w:eastAsia="仿宋_GB2312" w:cs="宋体"/>
          <w:color w:val="000000" w:themeColor="text1"/>
          <w:kern w:val="0"/>
          <w:sz w:val="32"/>
          <w:szCs w:val="32"/>
        </w:rPr>
        <w:t>中发现的违法、违规情形</w:t>
      </w:r>
      <w:r>
        <w:rPr>
          <w:rFonts w:hint="eastAsia" w:ascii="仿宋_GB2312" w:hAnsi="宋体" w:eastAsia="仿宋_GB2312"/>
          <w:color w:val="000000" w:themeColor="text1"/>
          <w:kern w:val="0"/>
          <w:sz w:val="32"/>
          <w:szCs w:val="32"/>
        </w:rPr>
        <w:t>发出《纠正违法通知书》《检察建议书》19 份，</w:t>
      </w:r>
      <w:r>
        <w:rPr>
          <w:rFonts w:hint="eastAsia" w:ascii="仿宋_GB2312" w:eastAsia="仿宋_GB2312"/>
          <w:color w:val="000000" w:themeColor="text1"/>
          <w:sz w:val="32"/>
          <w:szCs w:val="32"/>
        </w:rPr>
        <w:t>监管部门均整改到位并及时反馈。</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2.做实民事、行政检察。</w:t>
      </w:r>
      <w:r>
        <w:rPr>
          <w:rFonts w:hint="eastAsia" w:ascii="仿宋_GB2312" w:eastAsia="仿宋_GB2312"/>
          <w:color w:val="000000" w:themeColor="text1"/>
          <w:sz w:val="32"/>
          <w:szCs w:val="32"/>
        </w:rPr>
        <w:t>以支持起诉等方式为讨薪农民工撑腰，办理支持农民工讨薪起诉案件12件，为农民工尽快拿到拖欠工资提供法律帮助。严谨细致核查每一个办案环节，在饶某某等人黑恶势力案件中查微析疑，发现被告人涉及的一起委托合同纠纷案件原判决认定的基本事实缺乏证据证明，发出再审检察建议，被法院采纳，经再审作出撤销原判裁定。按照省、市两级检察院的部署，组织开展民事行政执行案件评查活动，形成分析报告，提出完善路径，</w:t>
      </w:r>
      <w:r>
        <w:rPr>
          <w:rFonts w:hint="eastAsia" w:ascii="仿宋_GB2312" w:hAnsi="仿宋_GB2312" w:eastAsia="仿宋_GB2312" w:cs="仿宋_GB2312"/>
          <w:color w:val="000000" w:themeColor="text1"/>
          <w:sz w:val="32"/>
          <w:szCs w:val="32"/>
        </w:rPr>
        <w:t>寓支持于监督之中，助力法院解决执行难问题</w:t>
      </w:r>
      <w:r>
        <w:rPr>
          <w:rFonts w:hint="eastAsia" w:ascii="仿宋_GB2312" w:eastAsia="仿宋_GB2312"/>
          <w:color w:val="000000" w:themeColor="text1"/>
          <w:sz w:val="32"/>
          <w:szCs w:val="32"/>
        </w:rPr>
        <w:t>。认真做好《民法典》的学习宣传工作，开展进乡镇、进企业、进社区、进校园普法宣讲活动，让《民法典》走到群众身边，走进群众心里，引导社会理性维权。</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3.做好公益诉讼检察。</w:t>
      </w:r>
      <w:r>
        <w:rPr>
          <w:rFonts w:hint="eastAsia" w:ascii="仿宋_GB2312" w:eastAsia="仿宋_GB2312"/>
          <w:color w:val="000000" w:themeColor="text1"/>
          <w:sz w:val="32"/>
          <w:szCs w:val="32"/>
        </w:rPr>
        <w:t>牢固树立双赢多赢共赢理念，助推政府依法行政，共同维护群众根本利益。全年排查公益诉讼案件线索30件，立案30件，发出诉前检察建议29件，向法院提起诉讼1件，法院审结1件。96.7%的案件在诉前检察建议发出之后，有关行政机关都依法履职到位，以最小的司法成本，取得了最佳的社会效果。深入开展英烈设施和文物保护检察监督专项行动，用法律手段捍卫英烈尊严，保护历史文物。加强对非法猎捕野生动物犯罪打击工作，对陈某某非法猎捕珍贵、濒危野生动物一案提起民事公益诉讼，在追究刑事责任的同时，一并追究行为人的生态损害赔偿责任。依法守护食品药品安全，开展食品药品严重失信“黑名单”和校园周边食品安全专项监督活动，督促市场监督管理局、烟草专卖局强化履职力度和监管举措，加强对人民群众尤其是中小学生“舌尖上的安全”守护。探索建立公益诉讼观察员制度，从社会各界中择优选聘7人担任公益诉讼观察员，集聚各方力量维护公益。</w:t>
      </w:r>
    </w:p>
    <w:p>
      <w:pPr>
        <w:spacing w:line="600" w:lineRule="exact"/>
        <w:rPr>
          <w:rFonts w:ascii="黑体" w:eastAsia="黑体"/>
          <w:color w:val="000000" w:themeColor="text1"/>
          <w:sz w:val="32"/>
          <w:szCs w:val="32"/>
        </w:rPr>
      </w:pPr>
      <w:r>
        <w:rPr>
          <w:rFonts w:hint="eastAsia" w:ascii="仿宋_GB2312" w:eastAsia="仿宋_GB2312"/>
          <w:color w:val="000000" w:themeColor="text1"/>
          <w:sz w:val="32"/>
          <w:szCs w:val="32"/>
        </w:rPr>
        <w:t xml:space="preserve">　 </w:t>
      </w:r>
      <w:r>
        <w:rPr>
          <w:rFonts w:hint="eastAsia" w:ascii="黑体" w:eastAsia="黑体"/>
          <w:color w:val="000000" w:themeColor="text1"/>
          <w:sz w:val="32"/>
          <w:szCs w:val="32"/>
        </w:rPr>
        <w:t xml:space="preserve"> 三、推进改革创新，积蓄发展动力</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全面落实以司法责任制为中心的检察改革，推进各项任务落细落实，激发改革内在动力。</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1.深入推进各项检察改革。</w:t>
      </w:r>
      <w:r>
        <w:rPr>
          <w:rFonts w:hint="eastAsia" w:ascii="仿宋_GB2312" w:eastAsia="仿宋_GB2312"/>
          <w:color w:val="000000" w:themeColor="text1"/>
          <w:sz w:val="32"/>
          <w:szCs w:val="32"/>
        </w:rPr>
        <w:t>全面适用认罪认罚从宽制度，对犯罪嫌疑人自愿认罪、同意检察机关量刑建议并签署具结书的案件，依法从宽处理。全年认罪认罚案件适用率达91%，上诉率为零，</w:t>
      </w:r>
      <w:r>
        <w:rPr>
          <w:rFonts w:hint="eastAsia" w:ascii="仿宋_GB2312" w:eastAsia="仿宋_GB2312"/>
          <w:sz w:val="32"/>
          <w:szCs w:val="32"/>
        </w:rPr>
        <w:t>在提高办案效率的同时更好地促进了社会和谐。</w:t>
      </w:r>
      <w:r>
        <w:rPr>
          <w:rFonts w:hint="eastAsia" w:ascii="仿宋_GB2312" w:eastAsia="仿宋_GB2312"/>
          <w:color w:val="000000" w:themeColor="text1"/>
          <w:sz w:val="32"/>
          <w:szCs w:val="32"/>
        </w:rPr>
        <w:t>耐心开展释法说理，主动听取意见，精准提出量刑建议，法院采纳率为99.1%，检察机关在审前程序中的主导作用进一步凸显。对符合条件的轻罪案件建议适用速裁程序，速裁程序适用率达50%，办案全程大幅提速。以“案-件比”质效评价标准为抓手，引导检察官以“工匠精神”在每一个办案环节将工作做到极致，避免不应有的程序空转，刑事“案-件比”呈逐渐下降趋势。</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2.用心做好未成年人检察工作。</w:t>
      </w:r>
      <w:r>
        <w:rPr>
          <w:rFonts w:hint="eastAsia" w:ascii="仿宋_GB2312" w:eastAsia="仿宋_GB2312"/>
          <w:color w:val="000000" w:themeColor="text1"/>
          <w:sz w:val="32"/>
          <w:szCs w:val="32"/>
        </w:rPr>
        <w:t>持续落实“一号检察建议”，全面推进检察官担任法治副校长工作机制，院班子成员、未检干警受聘到13所中小学、幼儿园担任法治副校长，积极参与校园法治建设，让青少年养成尊法守法的自觉。以督促落实“一号检察建议”为抓手，联合教育、青工、妇联等部门开展“法治进校园”活动，举办法治讲座13次，听众达3000余人。切实发挥检察监督职能，全程跟进、化解一起因校园欺凌事件引发的舆情隐患风险。为确保防疫形势下学生安全返校复课，主动联系医务人员，实地查看校园及周边防疫措施落实情况，并对需要加强的措施提出具体意见，用检察呵护传递司法温情。</w:t>
      </w:r>
    </w:p>
    <w:p>
      <w:pPr>
        <w:spacing w:line="600" w:lineRule="exact"/>
        <w:ind w:firstLine="627" w:firstLineChars="196"/>
        <w:rPr>
          <w:rFonts w:ascii="黑体" w:eastAsia="黑体"/>
          <w:color w:val="000000" w:themeColor="text1"/>
          <w:sz w:val="32"/>
          <w:szCs w:val="32"/>
        </w:rPr>
      </w:pPr>
      <w:r>
        <w:rPr>
          <w:rFonts w:hint="eastAsia" w:ascii="黑体" w:eastAsia="黑体"/>
          <w:color w:val="000000" w:themeColor="text1"/>
          <w:sz w:val="32"/>
          <w:szCs w:val="32"/>
        </w:rPr>
        <w:t>四、坚持从严治检，打造过硬队伍</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深入贯彻全面从严治党、从严治检工作部署，牢固树立严管就是厚爱的理念，不断提高新时代检察队伍革命化、正规化、专业化、职业化水平。   </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1.加强思想政治建设。</w:t>
      </w:r>
      <w:r>
        <w:rPr>
          <w:rFonts w:hint="eastAsia" w:ascii="仿宋_GB2312" w:eastAsia="仿宋_GB2312"/>
          <w:color w:val="000000" w:themeColor="text1"/>
          <w:sz w:val="32"/>
          <w:szCs w:val="32"/>
        </w:rPr>
        <w:t>认真学思践悟习近平新时代中国特色社会主义思想和党的十九大精神，深入推进“不忘初心、牢记使命”主题教育，</w:t>
      </w:r>
      <w:r>
        <w:rPr>
          <w:rFonts w:hint="eastAsia" w:ascii="仿宋_GB2312" w:eastAsia="仿宋_GB2312"/>
          <w:sz w:val="32"/>
          <w:szCs w:val="32"/>
        </w:rPr>
        <w:t>加强意识形态阵地建设，</w:t>
      </w:r>
      <w:r>
        <w:rPr>
          <w:rFonts w:hint="eastAsia" w:ascii="仿宋_GB2312" w:eastAsia="仿宋_GB2312"/>
          <w:color w:val="000000" w:themeColor="text1"/>
          <w:sz w:val="32"/>
          <w:szCs w:val="32"/>
        </w:rPr>
        <w:t>进一步树牢“四个意识”，坚定“四个自信”，做到“两个维护”。主动向市委报告检察工作，在市委统一领导下，依法处置重大敏感案件、定性分歧案件，将党的领导贯穿检察工作全过程。自觉接受南平市检察院党组巡察，全面彻底整改巡察反馈的问题。根据内设机构改革、人员调整情况，圆满完成了新一届院党总支和各支部的换届选举，夯实基层党组织的战斗力。通过树立身边典型，对标对表，全力打造李华式模范检察官团队，营造正气充盈的检察生态。</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2.着力提升司法能力。</w:t>
      </w:r>
      <w:r>
        <w:rPr>
          <w:rFonts w:hint="eastAsia" w:ascii="仿宋_GB2312" w:eastAsia="仿宋_GB2312"/>
          <w:color w:val="000000" w:themeColor="text1"/>
          <w:sz w:val="32"/>
          <w:szCs w:val="32"/>
        </w:rPr>
        <w:t>聚焦业务需求、办案实际，广泛开展多层次、多条线的岗位练兵活动，深化全员教育培训，共培训检察人员86人次，提升队伍职业道德素养和司法办案能力。用好检察业务交流平台“检答网”，借力专家咨询委员会“智库”，促进干警专业能力不断精进。大力发展检察文化建设，浓厚机关文化氛围，提升检察软实力。</w:t>
      </w:r>
      <w:r>
        <w:rPr>
          <w:rFonts w:hint="eastAsia" w:ascii="仿宋_GB2312" w:hAnsi="宋体" w:eastAsia="仿宋_GB2312" w:cs="宋体"/>
          <w:color w:val="000000" w:themeColor="text1"/>
          <w:kern w:val="0"/>
          <w:sz w:val="32"/>
          <w:szCs w:val="32"/>
        </w:rPr>
        <w:t>严格执行</w:t>
      </w:r>
      <w:r>
        <w:rPr>
          <w:rFonts w:hint="eastAsia" w:ascii="仿宋_GB2312" w:eastAsia="仿宋_GB2312"/>
          <w:color w:val="000000" w:themeColor="text1"/>
          <w:sz w:val="32"/>
          <w:szCs w:val="32"/>
        </w:rPr>
        <w:t>检察官业绩考评机制</w:t>
      </w:r>
      <w:r>
        <w:rPr>
          <w:rFonts w:hint="eastAsia" w:ascii="仿宋_GB2312" w:hAnsi="宋体" w:eastAsia="仿宋_GB2312" w:cs="宋体"/>
          <w:color w:val="000000" w:themeColor="text1"/>
          <w:kern w:val="0"/>
          <w:sz w:val="32"/>
          <w:szCs w:val="32"/>
        </w:rPr>
        <w:t>和办案情况通报制度，推动领导办案成为新常态。</w:t>
      </w:r>
      <w:r>
        <w:rPr>
          <w:rFonts w:hint="eastAsia" w:ascii="仿宋_GB2312" w:eastAsia="仿宋_GB2312"/>
          <w:color w:val="000000" w:themeColor="text1"/>
          <w:sz w:val="32"/>
          <w:szCs w:val="32"/>
        </w:rPr>
        <w:t>认真开展督导检查，评查案件175件，纠正各类问题20个，健全案件线索管理、涉案财物统一管理等制度，防止违法违规办案。驰而不息把作风建设引向深入，以严明的纪律促使“三个规定”落地见效，筑牢廉洁底线。</w:t>
      </w:r>
    </w:p>
    <w:p>
      <w:pPr>
        <w:spacing w:line="600" w:lineRule="exact"/>
        <w:ind w:firstLine="627" w:firstLineChars="196"/>
        <w:rPr>
          <w:rFonts w:ascii="黑体" w:eastAsia="黑体"/>
          <w:color w:val="000000" w:themeColor="text1"/>
          <w:sz w:val="32"/>
          <w:szCs w:val="32"/>
        </w:rPr>
      </w:pPr>
      <w:r>
        <w:rPr>
          <w:rFonts w:hint="eastAsia" w:ascii="黑体" w:eastAsia="黑体"/>
          <w:color w:val="000000" w:themeColor="text1"/>
          <w:sz w:val="32"/>
          <w:szCs w:val="32"/>
        </w:rPr>
        <w:t>五、强化检务公开，接受人民监督</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切实把检察工作置于人大、政协和社会各界监督之下，向市人大常委会专题报告民事行政检察工作，认真抓好审议意见的落实。全面推行公开听证制度，邀请人大代表、政协委员、人民监督员对3件疑难、复杂案件公开听证，通过“检察开庭”，推动案结事了人和。严格</w:t>
      </w:r>
      <w:r>
        <w:rPr>
          <w:rFonts w:hint="eastAsia" w:ascii="仿宋_GB2312" w:hAnsi="宋体" w:eastAsia="仿宋_GB2312" w:cs="仿宋_GB2312"/>
          <w:color w:val="000000"/>
          <w:sz w:val="32"/>
          <w:szCs w:val="32"/>
        </w:rPr>
        <w:t>落实党组成员</w:t>
      </w:r>
      <w:r>
        <w:rPr>
          <w:rFonts w:hint="eastAsia" w:ascii="仿宋_GB2312" w:hAnsi="宋体" w:eastAsia="仿宋_GB2312" w:cs="仿宋_GB2312"/>
          <w:color w:val="000000"/>
          <w:kern w:val="0"/>
          <w:sz w:val="32"/>
          <w:szCs w:val="32"/>
        </w:rPr>
        <w:t>与人大代表、政协委员分片挂点、定点联系、</w:t>
      </w:r>
      <w:r>
        <w:rPr>
          <w:rFonts w:hint="eastAsia" w:ascii="仿宋_GB2312" w:hAnsi="宋体" w:eastAsia="仿宋_GB2312" w:cs="仿宋_GB2312"/>
          <w:kern w:val="0"/>
          <w:sz w:val="32"/>
          <w:szCs w:val="32"/>
        </w:rPr>
        <w:t>定期走访</w:t>
      </w:r>
      <w:r>
        <w:rPr>
          <w:rFonts w:hint="eastAsia" w:ascii="仿宋_GB2312" w:hAnsi="宋体" w:eastAsia="仿宋_GB2312" w:cs="仿宋_GB2312"/>
          <w:color w:val="000000"/>
          <w:kern w:val="0"/>
          <w:sz w:val="32"/>
          <w:szCs w:val="32"/>
        </w:rPr>
        <w:t>制度，</w:t>
      </w:r>
      <w:r>
        <w:rPr>
          <w:rFonts w:hint="eastAsia" w:ascii="仿宋_GB2312" w:hAnsi="宋体" w:eastAsia="仿宋_GB2312" w:cs="仿宋_GB2312"/>
          <w:kern w:val="0"/>
          <w:sz w:val="32"/>
          <w:szCs w:val="32"/>
        </w:rPr>
        <w:t>加强与人大代表、政协委员的联系沟通，</w:t>
      </w:r>
      <w:r>
        <w:rPr>
          <w:rFonts w:hint="eastAsia" w:ascii="仿宋_GB2312" w:hAnsi="??" w:eastAsia="仿宋_GB2312" w:cs="仿宋_GB2312"/>
          <w:color w:val="000000"/>
          <w:sz w:val="32"/>
          <w:szCs w:val="32"/>
        </w:rPr>
        <w:t>做到联络常态化、规范化、制度化。</w:t>
      </w:r>
      <w:r>
        <w:rPr>
          <w:rFonts w:hint="eastAsia" w:ascii="仿宋_GB2312" w:eastAsia="仿宋_GB2312"/>
          <w:color w:val="000000" w:themeColor="text1"/>
          <w:sz w:val="32"/>
          <w:szCs w:val="32"/>
        </w:rPr>
        <w:t>深化检务公开，加强运用案件信息公开系统，发布重要案件信息2条、程序性信息416条，公开终结性法律文书250份。</w:t>
      </w:r>
      <w:r>
        <w:rPr>
          <w:rFonts w:hint="eastAsia" w:ascii="仿宋_GB2312" w:hAnsi="宋体" w:eastAsia="仿宋_GB2312" w:cs="宋体"/>
          <w:color w:val="000000" w:themeColor="text1"/>
          <w:kern w:val="0"/>
          <w:sz w:val="32"/>
          <w:szCs w:val="32"/>
        </w:rPr>
        <w:t>完善“12309检察服务中心”建设，实现线上线下一站式服务。做好</w:t>
      </w:r>
      <w:r>
        <w:rPr>
          <w:rFonts w:hint="eastAsia" w:ascii="仿宋_GB2312" w:eastAsia="仿宋_GB2312"/>
          <w:color w:val="000000" w:themeColor="text1"/>
          <w:sz w:val="32"/>
          <w:szCs w:val="32"/>
        </w:rPr>
        <w:t>律师电话查询、预约、接待、提交意见等工作，</w:t>
      </w:r>
      <w:r>
        <w:rPr>
          <w:rFonts w:hint="eastAsia" w:ascii="仿宋_GB2312" w:hAnsi="宋体" w:eastAsia="仿宋_GB2312" w:cs="宋体"/>
          <w:color w:val="000000" w:themeColor="text1"/>
          <w:kern w:val="0"/>
          <w:sz w:val="32"/>
          <w:szCs w:val="32"/>
        </w:rPr>
        <w:t>为律师提供电子卷宗800余卷。</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各位代表，过去一年，邵武</w:t>
      </w:r>
      <w:r>
        <w:rPr>
          <w:rFonts w:hint="eastAsia" w:ascii="仿宋_GB2312" w:hAnsi="宋体" w:eastAsia="仿宋_GB2312" w:cs="宋体"/>
          <w:color w:val="000000" w:themeColor="text1"/>
          <w:kern w:val="0"/>
          <w:sz w:val="32"/>
          <w:szCs w:val="32"/>
        </w:rPr>
        <w:t>市检察院共有5个集体和14名个人受到上级表彰。其中扫黑除恶专项斗争领导小组办公室、张征松等24人黑社会性质组织罪办案组分别被南平市检察院记三等功1次，</w:t>
      </w:r>
      <w:r>
        <w:rPr>
          <w:rFonts w:hint="eastAsia" w:ascii="仿宋_GB2312" w:eastAsia="仿宋_GB2312"/>
          <w:sz w:val="32"/>
          <w:szCs w:val="32"/>
        </w:rPr>
        <w:t>第二检察部荣获“2019年－2021年”省级青年文明号，</w:t>
      </w:r>
      <w:r>
        <w:rPr>
          <w:rFonts w:hint="eastAsia" w:ascii="仿宋_GB2312" w:hAnsi="??" w:eastAsia="仿宋_GB2312" w:cs="仿宋_GB2312"/>
          <w:color w:val="000000"/>
          <w:kern w:val="0"/>
          <w:sz w:val="32"/>
          <w:szCs w:val="32"/>
          <w:lang w:val="zh-CN"/>
        </w:rPr>
        <w:t>多名干警在上级院组织的</w:t>
      </w:r>
      <w:r>
        <w:rPr>
          <w:rFonts w:hint="eastAsia" w:ascii="仿宋_GB2312" w:hAnsi="宋体" w:eastAsia="仿宋_GB2312" w:cs="宋体"/>
          <w:color w:val="000000" w:themeColor="text1"/>
          <w:kern w:val="0"/>
          <w:sz w:val="32"/>
          <w:szCs w:val="32"/>
        </w:rPr>
        <w:t>检察理论调研</w:t>
      </w:r>
      <w:r>
        <w:rPr>
          <w:rFonts w:hint="eastAsia" w:ascii="仿宋_GB2312" w:hAnsi="??" w:eastAsia="仿宋_GB2312" w:cs="仿宋_GB2312"/>
          <w:color w:val="000000"/>
          <w:kern w:val="0"/>
          <w:sz w:val="32"/>
          <w:szCs w:val="32"/>
          <w:lang w:val="zh-CN"/>
        </w:rPr>
        <w:t>征文中斩获佳绩。</w:t>
      </w:r>
      <w:r>
        <w:rPr>
          <w:rFonts w:hint="eastAsia" w:ascii="仿宋_GB2312" w:eastAsia="仿宋_GB2312"/>
          <w:color w:val="000000" w:themeColor="text1"/>
          <w:sz w:val="32"/>
          <w:szCs w:val="32"/>
        </w:rPr>
        <w:t xml:space="preserve">检察工作的发展进步，离不开党委的坚强领导、人大的有力监督、政府、政协和社会各界的大力支持。在此，我代表市检察院和全体干警表示衷心的感谢并致以崇高的敬意！ </w:t>
      </w:r>
    </w:p>
    <w:p>
      <w:pPr>
        <w:spacing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回顾一年来的工作，我们也清醒地认识到，还存在一些工作短板和薄弱环节，主要表现在：一是服务改革发展稳定大局的针对性、实效性有待增强，特别是对如何服务保障国家治理体系和治理能力现代化还缺乏有效应对。二是司法理念的更新、转变还不能适应检察机关职能调整要求，有些工作基础仍然比较薄弱。三是司法质量、司法效率有待进一步提升，检察产品供给与人民群众在民主、法治、公平、正义、安全、环境等方面的司法需求尚有差距。对此，我们将坚持问题导向，努力加以解决。</w:t>
      </w:r>
    </w:p>
    <w:p>
      <w:pPr>
        <w:spacing w:line="600" w:lineRule="exact"/>
        <w:rPr>
          <w:rFonts w:ascii="仿宋_GB2312" w:eastAsia="仿宋_GB2312"/>
          <w:color w:val="000000" w:themeColor="text1"/>
          <w:sz w:val="32"/>
          <w:szCs w:val="32"/>
        </w:rPr>
      </w:pPr>
    </w:p>
    <w:p>
      <w:pPr>
        <w:spacing w:line="600" w:lineRule="exact"/>
        <w:ind w:firstLine="3113" w:firstLineChars="973"/>
        <w:rPr>
          <w:rFonts w:ascii="黑体" w:eastAsia="黑体"/>
          <w:color w:val="000000" w:themeColor="text1"/>
          <w:sz w:val="32"/>
          <w:szCs w:val="32"/>
        </w:rPr>
      </w:pPr>
      <w:r>
        <w:rPr>
          <w:rFonts w:hint="eastAsia" w:ascii="黑体" w:eastAsia="黑体"/>
          <w:color w:val="000000" w:themeColor="text1"/>
          <w:sz w:val="32"/>
          <w:szCs w:val="32"/>
        </w:rPr>
        <w:t>2021年的主要任务</w:t>
      </w:r>
    </w:p>
    <w:p>
      <w:pPr>
        <w:spacing w:line="600" w:lineRule="exact"/>
        <w:rPr>
          <w:rFonts w:ascii="仿宋_GB2312" w:eastAsia="仿宋_GB2312"/>
          <w:color w:val="000000" w:themeColor="text1"/>
          <w:sz w:val="32"/>
          <w:szCs w:val="32"/>
        </w:rPr>
      </w:pP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2021年，邵武市检察院将始终坚持党对检察工作的绝对领导，深入贯彻落实习近平新时代中国特色社会主义思想，围绕我市“十四五”规划和2035年远景目标、市委经济工作会议精神，进一步细化实化工作举措，讲政治、顾大局、谋发展、重自强，履行好维护国家政治安全、确保社会大局稳定、促进社会公平正义、保障人民安居乐业的职责任务。重点要抓好以下几个方面的工作。</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一要强化法治邵武建设责任担当。</w:t>
      </w:r>
      <w:r>
        <w:rPr>
          <w:rFonts w:hint="eastAsia" w:ascii="仿宋_GB2312" w:eastAsia="仿宋_GB2312"/>
          <w:color w:val="000000" w:themeColor="text1"/>
          <w:sz w:val="32"/>
          <w:szCs w:val="32"/>
        </w:rPr>
        <w:t>要把学习贯彻党的十九届五中全会精神和习近平法治思想，作为当前和今后一个时期的重要政治任务，组织好大学习，开展好大宣传，实施好大培训，把学习贯彻新思想的政治要求转化为履职尽责的自觉行动，贯穿到推进法治邵武建设的全过程。</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二要对标对表服务高质量发展。</w:t>
      </w:r>
      <w:r>
        <w:rPr>
          <w:rFonts w:hint="eastAsia" w:ascii="仿宋_GB2312" w:eastAsia="仿宋_GB2312"/>
          <w:color w:val="000000" w:themeColor="text1"/>
          <w:sz w:val="32"/>
          <w:szCs w:val="32"/>
        </w:rPr>
        <w:t>从把握新发展阶段、贯彻新发展理念、服务构建新发展格局的实际出发，围绕护航“六稳”、落实“六保”、构建“2+4+2”产业新体系，推动更高水平平安邵武建设、打造美丽邵武新样板等重点工作，充分发挥检察职能作用，用足用好“四大检察”，为“十四五”时期我市强产业、扩内需、促改革、提品质、保民生提供有力保障。</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三要常态抓好检察为民实事。</w:t>
      </w:r>
      <w:r>
        <w:rPr>
          <w:rFonts w:hint="eastAsia" w:ascii="仿宋_GB2312" w:eastAsia="仿宋_GB2312"/>
          <w:color w:val="000000" w:themeColor="text1"/>
          <w:sz w:val="32"/>
          <w:szCs w:val="32"/>
        </w:rPr>
        <w:t>要围绕人民日益增长的美好生活需要，继续办好“群众来信件件有回复”和一号、四号检察建议等司法为民实事，着力解决人民群众的操心事、烦心事、揪心事。要助力巩固拓展脱贫攻坚同乡村振兴有效衔接，着力推进司法救助全覆盖，让人民群众真正感受到公平正义和司法温度。要切实办好群众身边的“小案”，把天理、国法、人情融入到办案中，做到“三个效果”统一。要坚持不懈抓好行政争议实质性化解、虚假诉讼领域深层次违法行为监督，将公益诉讼的“触角”延伸到与民生利益息息相关的更多角落，让检察工作更接地气、聚人气。</w:t>
      </w:r>
    </w:p>
    <w:p>
      <w:pPr>
        <w:spacing w:line="600" w:lineRule="exact"/>
        <w:ind w:firstLine="627" w:firstLineChars="196"/>
        <w:rPr>
          <w:rFonts w:ascii="仿宋_GB2312" w:eastAsia="仿宋_GB2312"/>
          <w:color w:val="000000" w:themeColor="text1"/>
          <w:sz w:val="32"/>
          <w:szCs w:val="32"/>
        </w:rPr>
      </w:pPr>
      <w:r>
        <w:rPr>
          <w:rFonts w:hint="eastAsia" w:ascii="楷体_GB2312" w:eastAsia="楷体_GB2312"/>
          <w:color w:val="000000" w:themeColor="text1"/>
          <w:sz w:val="32"/>
          <w:szCs w:val="32"/>
        </w:rPr>
        <w:t>四要促进队伍建设高素质提升。</w:t>
      </w:r>
      <w:r>
        <w:rPr>
          <w:rFonts w:hint="eastAsia" w:ascii="仿宋_GB2312" w:eastAsia="仿宋_GB2312"/>
          <w:color w:val="000000" w:themeColor="text1"/>
          <w:sz w:val="32"/>
          <w:szCs w:val="32"/>
        </w:rPr>
        <w:t>要加强理想信念教育和职业道德教育，把忠于党、忠于国家、忠于人民、忠于法律的要求落实到检察队伍建设全过程，以开展政法队伍教育整顿为契机，落实全面从严治党责任，打造“四个铁一般”的队伍。要</w:t>
      </w:r>
      <w:r>
        <w:rPr>
          <w:rFonts w:hint="eastAsia" w:ascii="仿宋_GB2312" w:hAnsi="宋体" w:eastAsia="仿宋_GB2312" w:cs="宋体"/>
          <w:color w:val="000000" w:themeColor="text1"/>
          <w:kern w:val="0"/>
          <w:sz w:val="32"/>
          <w:szCs w:val="32"/>
        </w:rPr>
        <w:t>深化司法体制综合配套改革，</w:t>
      </w:r>
      <w:r>
        <w:rPr>
          <w:rFonts w:hint="eastAsia" w:ascii="仿宋_GB2312" w:eastAsia="仿宋_GB2312"/>
          <w:sz w:val="32"/>
          <w:szCs w:val="32"/>
        </w:rPr>
        <w:t>借力检察官业绩考评杠杆，撬动“案-件比”指标，进一步</w:t>
      </w:r>
      <w:r>
        <w:rPr>
          <w:rFonts w:hint="eastAsia" w:ascii="仿宋_GB2312" w:eastAsia="仿宋_GB2312"/>
          <w:color w:val="000000" w:themeColor="text1"/>
          <w:sz w:val="32"/>
          <w:szCs w:val="32"/>
        </w:rPr>
        <w:t>强化队伍素能建设，不断提高干警运用法治思维和法治方式深化改革、推动发展、化解矛盾、维护稳定、应对风险能力。</w:t>
      </w:r>
    </w:p>
    <w:p>
      <w:pPr>
        <w:spacing w:line="6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各位代表，新的一年，邵武市检察院将在市委和上级院的领导下，全面执行本次大会决议，</w:t>
      </w:r>
      <w:r>
        <w:rPr>
          <w:rFonts w:hint="eastAsia" w:ascii="仿宋_GB2312" w:hAnsi="宋体" w:eastAsia="仿宋_GB2312" w:cs="宋体"/>
          <w:color w:val="000000" w:themeColor="text1"/>
          <w:kern w:val="0"/>
          <w:sz w:val="32"/>
          <w:szCs w:val="32"/>
        </w:rPr>
        <w:t>务实创新，真抓实干，</w:t>
      </w:r>
      <w:r>
        <w:rPr>
          <w:rFonts w:hint="eastAsia" w:ascii="仿宋_GB2312" w:eastAsia="仿宋_GB2312"/>
          <w:color w:val="000000" w:themeColor="text1"/>
          <w:sz w:val="32"/>
          <w:szCs w:val="32"/>
        </w:rPr>
        <w:t>为奋力夺取全面建设新时代富美新邵武、全方位推动绿色高质量发展超越作出新贡献，以优异成绩迎接中国共产党成立100周年！</w:t>
      </w:r>
    </w:p>
    <w:p>
      <w:pPr>
        <w:spacing w:line="600" w:lineRule="exact"/>
        <w:rPr>
          <w:rFonts w:ascii="仿宋_GB2312" w:eastAsia="仿宋_GB2312"/>
          <w:color w:val="000000" w:themeColor="text1"/>
          <w:sz w:val="32"/>
          <w:szCs w:val="32"/>
        </w:rPr>
      </w:pPr>
    </w:p>
    <w:p>
      <w:pPr>
        <w:spacing w:line="600" w:lineRule="exact"/>
        <w:rPr>
          <w:rFonts w:ascii="仿宋_GB2312" w:eastAsia="仿宋_GB2312"/>
          <w:color w:val="000000" w:themeColor="text1"/>
          <w:sz w:val="32"/>
          <w:szCs w:val="32"/>
        </w:rPr>
      </w:pPr>
    </w:p>
    <w:sectPr>
      <w:footerReference r:id="rId3" w:type="default"/>
      <w:footerReference r:id="rId4" w:type="even"/>
      <w:pgSz w:w="11906" w:h="16838"/>
      <w:pgMar w:top="2098" w:right="1531" w:bottom="1985" w:left="1531" w:header="851" w:footer="1588" w:gutter="0"/>
      <w:cols w:space="425" w:num="1"/>
      <w:docGrid w:type="linesAndChars" w:linePitch="286"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hakuyoxingshu7000"/>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420" w:rightChars="200"/>
      <w:rPr>
        <w:rStyle w:val="11"/>
        <w:rFonts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11</w:t>
    </w:r>
    <w:r>
      <w:rPr>
        <w:rStyle w:val="11"/>
        <w:rFonts w:ascii="宋体" w:hAnsi="宋体"/>
        <w:sz w:val="28"/>
        <w:szCs w:val="28"/>
      </w:rPr>
      <w:fldChar w:fldCharType="end"/>
    </w:r>
    <w:r>
      <w:rPr>
        <w:rStyle w:val="11"/>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Pr>
        <w:rStyle w:val="11"/>
        <w:rFonts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12</w:t>
    </w:r>
    <w:r>
      <w:rPr>
        <w:rStyle w:val="11"/>
        <w:rFonts w:ascii="宋体" w:hAnsi="宋体"/>
        <w:sz w:val="28"/>
        <w:szCs w:val="28"/>
      </w:rPr>
      <w:fldChar w:fldCharType="end"/>
    </w:r>
    <w:r>
      <w:rPr>
        <w:rStyle w:val="11"/>
        <w:rFonts w:hint="eastAsia" w:ascii="宋体" w:hAnsi="宋体"/>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21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DB"/>
    <w:rsid w:val="00001720"/>
    <w:rsid w:val="000103EA"/>
    <w:rsid w:val="000111B2"/>
    <w:rsid w:val="00014387"/>
    <w:rsid w:val="00022A6E"/>
    <w:rsid w:val="00022ABA"/>
    <w:rsid w:val="000243B0"/>
    <w:rsid w:val="0002783E"/>
    <w:rsid w:val="00031814"/>
    <w:rsid w:val="00035E01"/>
    <w:rsid w:val="0004361C"/>
    <w:rsid w:val="00044B2E"/>
    <w:rsid w:val="00047399"/>
    <w:rsid w:val="000500F0"/>
    <w:rsid w:val="00066D89"/>
    <w:rsid w:val="0007030E"/>
    <w:rsid w:val="00071C81"/>
    <w:rsid w:val="000763B6"/>
    <w:rsid w:val="00077746"/>
    <w:rsid w:val="00086B09"/>
    <w:rsid w:val="00086DE1"/>
    <w:rsid w:val="0009019C"/>
    <w:rsid w:val="00092D19"/>
    <w:rsid w:val="00093BF3"/>
    <w:rsid w:val="00095770"/>
    <w:rsid w:val="000A2A38"/>
    <w:rsid w:val="000A68CB"/>
    <w:rsid w:val="000B02A3"/>
    <w:rsid w:val="000B54A4"/>
    <w:rsid w:val="000B6085"/>
    <w:rsid w:val="000C25AF"/>
    <w:rsid w:val="000C5862"/>
    <w:rsid w:val="000E47D7"/>
    <w:rsid w:val="000E6E03"/>
    <w:rsid w:val="0011698F"/>
    <w:rsid w:val="001241F2"/>
    <w:rsid w:val="001258F0"/>
    <w:rsid w:val="00126182"/>
    <w:rsid w:val="00126421"/>
    <w:rsid w:val="00131F8F"/>
    <w:rsid w:val="00135D84"/>
    <w:rsid w:val="0013798F"/>
    <w:rsid w:val="00141E0A"/>
    <w:rsid w:val="00143FAD"/>
    <w:rsid w:val="001456DC"/>
    <w:rsid w:val="00152117"/>
    <w:rsid w:val="001542AC"/>
    <w:rsid w:val="001618AD"/>
    <w:rsid w:val="00161A59"/>
    <w:rsid w:val="001664E5"/>
    <w:rsid w:val="00170734"/>
    <w:rsid w:val="00170FAE"/>
    <w:rsid w:val="001730E5"/>
    <w:rsid w:val="00184B6A"/>
    <w:rsid w:val="00190CC2"/>
    <w:rsid w:val="001927A2"/>
    <w:rsid w:val="00192D4D"/>
    <w:rsid w:val="001A1E23"/>
    <w:rsid w:val="001A20E6"/>
    <w:rsid w:val="001A5330"/>
    <w:rsid w:val="001A620B"/>
    <w:rsid w:val="001B5648"/>
    <w:rsid w:val="001D0E27"/>
    <w:rsid w:val="001D523F"/>
    <w:rsid w:val="001E44C4"/>
    <w:rsid w:val="001E6EE8"/>
    <w:rsid w:val="001F27D1"/>
    <w:rsid w:val="00200A78"/>
    <w:rsid w:val="002015F6"/>
    <w:rsid w:val="0020268E"/>
    <w:rsid w:val="002034B9"/>
    <w:rsid w:val="002152B0"/>
    <w:rsid w:val="00220D90"/>
    <w:rsid w:val="002277DE"/>
    <w:rsid w:val="00230E39"/>
    <w:rsid w:val="00236992"/>
    <w:rsid w:val="002372B6"/>
    <w:rsid w:val="00247A20"/>
    <w:rsid w:val="00250378"/>
    <w:rsid w:val="00251B27"/>
    <w:rsid w:val="00254B1F"/>
    <w:rsid w:val="002551D4"/>
    <w:rsid w:val="0025642E"/>
    <w:rsid w:val="00261129"/>
    <w:rsid w:val="0026142B"/>
    <w:rsid w:val="00264FCE"/>
    <w:rsid w:val="0027025E"/>
    <w:rsid w:val="00271159"/>
    <w:rsid w:val="0027348E"/>
    <w:rsid w:val="002761B4"/>
    <w:rsid w:val="00284EC3"/>
    <w:rsid w:val="0028714B"/>
    <w:rsid w:val="00296D15"/>
    <w:rsid w:val="00296F4E"/>
    <w:rsid w:val="002A51F0"/>
    <w:rsid w:val="002C284D"/>
    <w:rsid w:val="002C6E21"/>
    <w:rsid w:val="002C7435"/>
    <w:rsid w:val="002C7D4F"/>
    <w:rsid w:val="002E2894"/>
    <w:rsid w:val="002E6290"/>
    <w:rsid w:val="002F08AC"/>
    <w:rsid w:val="002F0A85"/>
    <w:rsid w:val="002F0B55"/>
    <w:rsid w:val="002F19FC"/>
    <w:rsid w:val="002F1C73"/>
    <w:rsid w:val="0030186E"/>
    <w:rsid w:val="003034D4"/>
    <w:rsid w:val="003250E3"/>
    <w:rsid w:val="00325839"/>
    <w:rsid w:val="0034607E"/>
    <w:rsid w:val="00346DB9"/>
    <w:rsid w:val="003523DB"/>
    <w:rsid w:val="003525F5"/>
    <w:rsid w:val="00354DC6"/>
    <w:rsid w:val="00355601"/>
    <w:rsid w:val="00356732"/>
    <w:rsid w:val="00360D7D"/>
    <w:rsid w:val="0036245B"/>
    <w:rsid w:val="003636B7"/>
    <w:rsid w:val="00363B89"/>
    <w:rsid w:val="00363CCB"/>
    <w:rsid w:val="00370A69"/>
    <w:rsid w:val="00372F17"/>
    <w:rsid w:val="00377F95"/>
    <w:rsid w:val="00381AA2"/>
    <w:rsid w:val="00385987"/>
    <w:rsid w:val="0038707C"/>
    <w:rsid w:val="003900EF"/>
    <w:rsid w:val="00393AF3"/>
    <w:rsid w:val="00397527"/>
    <w:rsid w:val="00397533"/>
    <w:rsid w:val="003A00D3"/>
    <w:rsid w:val="003A1634"/>
    <w:rsid w:val="003A5D19"/>
    <w:rsid w:val="003A7383"/>
    <w:rsid w:val="003A75EA"/>
    <w:rsid w:val="003A786A"/>
    <w:rsid w:val="003B26F0"/>
    <w:rsid w:val="003B3364"/>
    <w:rsid w:val="003B6D56"/>
    <w:rsid w:val="003C0D8F"/>
    <w:rsid w:val="003D1A29"/>
    <w:rsid w:val="003D5DF8"/>
    <w:rsid w:val="003D5F5C"/>
    <w:rsid w:val="003E149B"/>
    <w:rsid w:val="003E44E6"/>
    <w:rsid w:val="003E5F9C"/>
    <w:rsid w:val="003F04FD"/>
    <w:rsid w:val="003F074E"/>
    <w:rsid w:val="003F52AF"/>
    <w:rsid w:val="003F7B8A"/>
    <w:rsid w:val="00405D1B"/>
    <w:rsid w:val="00406F5A"/>
    <w:rsid w:val="00410858"/>
    <w:rsid w:val="00411858"/>
    <w:rsid w:val="00411BF1"/>
    <w:rsid w:val="004155C1"/>
    <w:rsid w:val="00415CB7"/>
    <w:rsid w:val="00417F25"/>
    <w:rsid w:val="004242DF"/>
    <w:rsid w:val="00431721"/>
    <w:rsid w:val="00435570"/>
    <w:rsid w:val="004368C2"/>
    <w:rsid w:val="0044104B"/>
    <w:rsid w:val="00444C1B"/>
    <w:rsid w:val="00447C28"/>
    <w:rsid w:val="00450E25"/>
    <w:rsid w:val="00466AE9"/>
    <w:rsid w:val="004715C8"/>
    <w:rsid w:val="004724A2"/>
    <w:rsid w:val="0047764D"/>
    <w:rsid w:val="00480151"/>
    <w:rsid w:val="004816AE"/>
    <w:rsid w:val="00482A91"/>
    <w:rsid w:val="00482FFC"/>
    <w:rsid w:val="00484772"/>
    <w:rsid w:val="004867CD"/>
    <w:rsid w:val="004A476F"/>
    <w:rsid w:val="004A75E5"/>
    <w:rsid w:val="004B135B"/>
    <w:rsid w:val="004B18E7"/>
    <w:rsid w:val="004B3450"/>
    <w:rsid w:val="004B66CB"/>
    <w:rsid w:val="004C51DD"/>
    <w:rsid w:val="004C5AA4"/>
    <w:rsid w:val="004E4FB9"/>
    <w:rsid w:val="004E6BC0"/>
    <w:rsid w:val="004F5353"/>
    <w:rsid w:val="004F6E3C"/>
    <w:rsid w:val="004F7DA9"/>
    <w:rsid w:val="00501D06"/>
    <w:rsid w:val="005053DB"/>
    <w:rsid w:val="00510473"/>
    <w:rsid w:val="0051476D"/>
    <w:rsid w:val="0051797B"/>
    <w:rsid w:val="00517CD9"/>
    <w:rsid w:val="00523F06"/>
    <w:rsid w:val="00526323"/>
    <w:rsid w:val="005363DE"/>
    <w:rsid w:val="0053646A"/>
    <w:rsid w:val="00540043"/>
    <w:rsid w:val="00542E12"/>
    <w:rsid w:val="00545531"/>
    <w:rsid w:val="00545CEA"/>
    <w:rsid w:val="00550D92"/>
    <w:rsid w:val="00552012"/>
    <w:rsid w:val="00557E94"/>
    <w:rsid w:val="00560EB8"/>
    <w:rsid w:val="00563B0C"/>
    <w:rsid w:val="00566560"/>
    <w:rsid w:val="00582A06"/>
    <w:rsid w:val="0058552C"/>
    <w:rsid w:val="00592EC8"/>
    <w:rsid w:val="00594E3C"/>
    <w:rsid w:val="00596235"/>
    <w:rsid w:val="005A2BC6"/>
    <w:rsid w:val="005A423D"/>
    <w:rsid w:val="005A6214"/>
    <w:rsid w:val="005A76F4"/>
    <w:rsid w:val="005B0AA8"/>
    <w:rsid w:val="005B13C5"/>
    <w:rsid w:val="005C2083"/>
    <w:rsid w:val="005C61BF"/>
    <w:rsid w:val="005C70FE"/>
    <w:rsid w:val="005D116E"/>
    <w:rsid w:val="005D2CCB"/>
    <w:rsid w:val="005D327F"/>
    <w:rsid w:val="005D728E"/>
    <w:rsid w:val="005E0781"/>
    <w:rsid w:val="005F0F0F"/>
    <w:rsid w:val="005F38B1"/>
    <w:rsid w:val="005F3917"/>
    <w:rsid w:val="005F5095"/>
    <w:rsid w:val="005F7122"/>
    <w:rsid w:val="00603FFD"/>
    <w:rsid w:val="00604702"/>
    <w:rsid w:val="00605AF3"/>
    <w:rsid w:val="00605D46"/>
    <w:rsid w:val="00620496"/>
    <w:rsid w:val="00621F7A"/>
    <w:rsid w:val="006260A5"/>
    <w:rsid w:val="0063196C"/>
    <w:rsid w:val="00636B5D"/>
    <w:rsid w:val="00640CC5"/>
    <w:rsid w:val="00643FAA"/>
    <w:rsid w:val="00646B6C"/>
    <w:rsid w:val="00646B94"/>
    <w:rsid w:val="00646EFE"/>
    <w:rsid w:val="00650798"/>
    <w:rsid w:val="00653365"/>
    <w:rsid w:val="00654B82"/>
    <w:rsid w:val="00654EF3"/>
    <w:rsid w:val="006552B9"/>
    <w:rsid w:val="006575C5"/>
    <w:rsid w:val="00681336"/>
    <w:rsid w:val="0068789E"/>
    <w:rsid w:val="00690A01"/>
    <w:rsid w:val="00694CB9"/>
    <w:rsid w:val="006951F2"/>
    <w:rsid w:val="00695C42"/>
    <w:rsid w:val="006969D5"/>
    <w:rsid w:val="006A438A"/>
    <w:rsid w:val="006A56D6"/>
    <w:rsid w:val="006A7B34"/>
    <w:rsid w:val="006B5C0E"/>
    <w:rsid w:val="006C1AFD"/>
    <w:rsid w:val="006C75D0"/>
    <w:rsid w:val="006D13C9"/>
    <w:rsid w:val="006E0ADC"/>
    <w:rsid w:val="006E3925"/>
    <w:rsid w:val="006E7C39"/>
    <w:rsid w:val="006F1278"/>
    <w:rsid w:val="00700B7C"/>
    <w:rsid w:val="007040CD"/>
    <w:rsid w:val="00706816"/>
    <w:rsid w:val="00713155"/>
    <w:rsid w:val="007144F4"/>
    <w:rsid w:val="00721AD4"/>
    <w:rsid w:val="0073383A"/>
    <w:rsid w:val="00744468"/>
    <w:rsid w:val="00745921"/>
    <w:rsid w:val="0075088D"/>
    <w:rsid w:val="007521B4"/>
    <w:rsid w:val="00753C7E"/>
    <w:rsid w:val="007542A3"/>
    <w:rsid w:val="00756C73"/>
    <w:rsid w:val="00760AD7"/>
    <w:rsid w:val="00760EF5"/>
    <w:rsid w:val="00761BEE"/>
    <w:rsid w:val="00772089"/>
    <w:rsid w:val="00772B44"/>
    <w:rsid w:val="00775E05"/>
    <w:rsid w:val="00776173"/>
    <w:rsid w:val="0077638B"/>
    <w:rsid w:val="0077798D"/>
    <w:rsid w:val="00780022"/>
    <w:rsid w:val="00780BD8"/>
    <w:rsid w:val="00781991"/>
    <w:rsid w:val="00790BA5"/>
    <w:rsid w:val="00793702"/>
    <w:rsid w:val="00797B4F"/>
    <w:rsid w:val="007A114F"/>
    <w:rsid w:val="007A16A6"/>
    <w:rsid w:val="007A25CB"/>
    <w:rsid w:val="007A281B"/>
    <w:rsid w:val="007B4C60"/>
    <w:rsid w:val="007B6A2A"/>
    <w:rsid w:val="007C02E4"/>
    <w:rsid w:val="007C107C"/>
    <w:rsid w:val="007C1B80"/>
    <w:rsid w:val="007C1DE5"/>
    <w:rsid w:val="007C5E32"/>
    <w:rsid w:val="007D4402"/>
    <w:rsid w:val="007D49B2"/>
    <w:rsid w:val="007D728A"/>
    <w:rsid w:val="007E0D8C"/>
    <w:rsid w:val="007E557E"/>
    <w:rsid w:val="007F022D"/>
    <w:rsid w:val="00813081"/>
    <w:rsid w:val="00821613"/>
    <w:rsid w:val="00824214"/>
    <w:rsid w:val="00826FAE"/>
    <w:rsid w:val="008279B1"/>
    <w:rsid w:val="008324B8"/>
    <w:rsid w:val="00833512"/>
    <w:rsid w:val="00850F43"/>
    <w:rsid w:val="0085154C"/>
    <w:rsid w:val="00853AF8"/>
    <w:rsid w:val="008558F5"/>
    <w:rsid w:val="0085595B"/>
    <w:rsid w:val="008560E6"/>
    <w:rsid w:val="00860D0B"/>
    <w:rsid w:val="00861DF4"/>
    <w:rsid w:val="00867390"/>
    <w:rsid w:val="00873ED3"/>
    <w:rsid w:val="00880535"/>
    <w:rsid w:val="00882F64"/>
    <w:rsid w:val="008917B9"/>
    <w:rsid w:val="008918F8"/>
    <w:rsid w:val="008A2087"/>
    <w:rsid w:val="008A21EA"/>
    <w:rsid w:val="008B4D7C"/>
    <w:rsid w:val="008B74E6"/>
    <w:rsid w:val="008D1F38"/>
    <w:rsid w:val="008D608C"/>
    <w:rsid w:val="008D630C"/>
    <w:rsid w:val="008D7686"/>
    <w:rsid w:val="008E1813"/>
    <w:rsid w:val="008E42D3"/>
    <w:rsid w:val="008E46A9"/>
    <w:rsid w:val="008E4CA8"/>
    <w:rsid w:val="008E51B6"/>
    <w:rsid w:val="008E54CF"/>
    <w:rsid w:val="008F1DDF"/>
    <w:rsid w:val="008F2C86"/>
    <w:rsid w:val="009005BF"/>
    <w:rsid w:val="00903615"/>
    <w:rsid w:val="00905AC0"/>
    <w:rsid w:val="00907C5B"/>
    <w:rsid w:val="00913462"/>
    <w:rsid w:val="00923720"/>
    <w:rsid w:val="00925182"/>
    <w:rsid w:val="00926CCE"/>
    <w:rsid w:val="00931FDA"/>
    <w:rsid w:val="00934D95"/>
    <w:rsid w:val="00936C47"/>
    <w:rsid w:val="00946C67"/>
    <w:rsid w:val="00947471"/>
    <w:rsid w:val="00955450"/>
    <w:rsid w:val="009577A4"/>
    <w:rsid w:val="0096168A"/>
    <w:rsid w:val="00963C5F"/>
    <w:rsid w:val="00964BDE"/>
    <w:rsid w:val="009668E3"/>
    <w:rsid w:val="00970092"/>
    <w:rsid w:val="0098115E"/>
    <w:rsid w:val="00986AD7"/>
    <w:rsid w:val="009901CF"/>
    <w:rsid w:val="009934A4"/>
    <w:rsid w:val="009938C3"/>
    <w:rsid w:val="00996D45"/>
    <w:rsid w:val="00997058"/>
    <w:rsid w:val="009A412E"/>
    <w:rsid w:val="009A7A08"/>
    <w:rsid w:val="009B30ED"/>
    <w:rsid w:val="009B3EF3"/>
    <w:rsid w:val="009B5E98"/>
    <w:rsid w:val="009B6032"/>
    <w:rsid w:val="009C0C03"/>
    <w:rsid w:val="009D692F"/>
    <w:rsid w:val="009E14AF"/>
    <w:rsid w:val="009E36AF"/>
    <w:rsid w:val="009E4C7D"/>
    <w:rsid w:val="009F09C1"/>
    <w:rsid w:val="009F0B71"/>
    <w:rsid w:val="009F3513"/>
    <w:rsid w:val="009F6C89"/>
    <w:rsid w:val="00A006C8"/>
    <w:rsid w:val="00A025FB"/>
    <w:rsid w:val="00A03A02"/>
    <w:rsid w:val="00A05AF1"/>
    <w:rsid w:val="00A06B1A"/>
    <w:rsid w:val="00A1483C"/>
    <w:rsid w:val="00A15AA3"/>
    <w:rsid w:val="00A15D14"/>
    <w:rsid w:val="00A228FF"/>
    <w:rsid w:val="00A276B3"/>
    <w:rsid w:val="00A2779D"/>
    <w:rsid w:val="00A314BD"/>
    <w:rsid w:val="00A335E5"/>
    <w:rsid w:val="00A34998"/>
    <w:rsid w:val="00A35818"/>
    <w:rsid w:val="00A437F0"/>
    <w:rsid w:val="00A43A17"/>
    <w:rsid w:val="00A47D1E"/>
    <w:rsid w:val="00A507D5"/>
    <w:rsid w:val="00A605E3"/>
    <w:rsid w:val="00A65B3C"/>
    <w:rsid w:val="00A66949"/>
    <w:rsid w:val="00A714A4"/>
    <w:rsid w:val="00A758C0"/>
    <w:rsid w:val="00A77B7B"/>
    <w:rsid w:val="00A841F3"/>
    <w:rsid w:val="00A86F8E"/>
    <w:rsid w:val="00A975B0"/>
    <w:rsid w:val="00AA7D9B"/>
    <w:rsid w:val="00AB1FC7"/>
    <w:rsid w:val="00AB2CAD"/>
    <w:rsid w:val="00AB3358"/>
    <w:rsid w:val="00AC60A6"/>
    <w:rsid w:val="00AD15C7"/>
    <w:rsid w:val="00AD4398"/>
    <w:rsid w:val="00AD5853"/>
    <w:rsid w:val="00AE0CF5"/>
    <w:rsid w:val="00AE1489"/>
    <w:rsid w:val="00AE30F6"/>
    <w:rsid w:val="00AE5D1F"/>
    <w:rsid w:val="00AE707E"/>
    <w:rsid w:val="00AE7246"/>
    <w:rsid w:val="00AF0904"/>
    <w:rsid w:val="00AF2361"/>
    <w:rsid w:val="00AF7F7A"/>
    <w:rsid w:val="00B018B6"/>
    <w:rsid w:val="00B03BE4"/>
    <w:rsid w:val="00B03E18"/>
    <w:rsid w:val="00B04BCC"/>
    <w:rsid w:val="00B0531F"/>
    <w:rsid w:val="00B12048"/>
    <w:rsid w:val="00B15138"/>
    <w:rsid w:val="00B15581"/>
    <w:rsid w:val="00B17799"/>
    <w:rsid w:val="00B235A9"/>
    <w:rsid w:val="00B24354"/>
    <w:rsid w:val="00B31910"/>
    <w:rsid w:val="00B349FE"/>
    <w:rsid w:val="00B41554"/>
    <w:rsid w:val="00B46354"/>
    <w:rsid w:val="00B4665C"/>
    <w:rsid w:val="00B51450"/>
    <w:rsid w:val="00B52BEA"/>
    <w:rsid w:val="00B563BE"/>
    <w:rsid w:val="00B567FC"/>
    <w:rsid w:val="00B56F00"/>
    <w:rsid w:val="00B60381"/>
    <w:rsid w:val="00B604BB"/>
    <w:rsid w:val="00B64E47"/>
    <w:rsid w:val="00B65913"/>
    <w:rsid w:val="00B66576"/>
    <w:rsid w:val="00B66C6A"/>
    <w:rsid w:val="00B71AC7"/>
    <w:rsid w:val="00B72552"/>
    <w:rsid w:val="00B735ED"/>
    <w:rsid w:val="00B74E28"/>
    <w:rsid w:val="00B75823"/>
    <w:rsid w:val="00B76B27"/>
    <w:rsid w:val="00B80A65"/>
    <w:rsid w:val="00B818EA"/>
    <w:rsid w:val="00B81F38"/>
    <w:rsid w:val="00B85374"/>
    <w:rsid w:val="00B8783C"/>
    <w:rsid w:val="00B900A0"/>
    <w:rsid w:val="00B90D27"/>
    <w:rsid w:val="00B96BCB"/>
    <w:rsid w:val="00BA7114"/>
    <w:rsid w:val="00BC6AF7"/>
    <w:rsid w:val="00BC7634"/>
    <w:rsid w:val="00BE04C8"/>
    <w:rsid w:val="00BE615B"/>
    <w:rsid w:val="00BE6D5D"/>
    <w:rsid w:val="00BF14AC"/>
    <w:rsid w:val="00BF2451"/>
    <w:rsid w:val="00BF3FB1"/>
    <w:rsid w:val="00BF69BF"/>
    <w:rsid w:val="00BF6F83"/>
    <w:rsid w:val="00C05FE4"/>
    <w:rsid w:val="00C071F2"/>
    <w:rsid w:val="00C11616"/>
    <w:rsid w:val="00C12CDF"/>
    <w:rsid w:val="00C14A78"/>
    <w:rsid w:val="00C14ECE"/>
    <w:rsid w:val="00C238D3"/>
    <w:rsid w:val="00C24A7E"/>
    <w:rsid w:val="00C24A8D"/>
    <w:rsid w:val="00C25FFB"/>
    <w:rsid w:val="00C263D8"/>
    <w:rsid w:val="00C2672F"/>
    <w:rsid w:val="00C32F1F"/>
    <w:rsid w:val="00C3448F"/>
    <w:rsid w:val="00C353F9"/>
    <w:rsid w:val="00C355E5"/>
    <w:rsid w:val="00C37228"/>
    <w:rsid w:val="00C3792C"/>
    <w:rsid w:val="00C379C6"/>
    <w:rsid w:val="00C4065A"/>
    <w:rsid w:val="00C41036"/>
    <w:rsid w:val="00C41EA6"/>
    <w:rsid w:val="00C441A6"/>
    <w:rsid w:val="00C46602"/>
    <w:rsid w:val="00C4668F"/>
    <w:rsid w:val="00C501B2"/>
    <w:rsid w:val="00C5198A"/>
    <w:rsid w:val="00C526C7"/>
    <w:rsid w:val="00C54105"/>
    <w:rsid w:val="00C56B0C"/>
    <w:rsid w:val="00C64B75"/>
    <w:rsid w:val="00C64E5A"/>
    <w:rsid w:val="00C67764"/>
    <w:rsid w:val="00C76B9D"/>
    <w:rsid w:val="00C77352"/>
    <w:rsid w:val="00C854EA"/>
    <w:rsid w:val="00C872BD"/>
    <w:rsid w:val="00C9150A"/>
    <w:rsid w:val="00C97D9C"/>
    <w:rsid w:val="00CA10B0"/>
    <w:rsid w:val="00CB22D0"/>
    <w:rsid w:val="00CB7214"/>
    <w:rsid w:val="00CC07B8"/>
    <w:rsid w:val="00CC1520"/>
    <w:rsid w:val="00CC2C9D"/>
    <w:rsid w:val="00CD0471"/>
    <w:rsid w:val="00CE3191"/>
    <w:rsid w:val="00CE3A78"/>
    <w:rsid w:val="00CE6172"/>
    <w:rsid w:val="00CE69F0"/>
    <w:rsid w:val="00CF169F"/>
    <w:rsid w:val="00CF1F79"/>
    <w:rsid w:val="00CF2D24"/>
    <w:rsid w:val="00CF54FF"/>
    <w:rsid w:val="00CF736C"/>
    <w:rsid w:val="00CF7534"/>
    <w:rsid w:val="00D01A15"/>
    <w:rsid w:val="00D0249F"/>
    <w:rsid w:val="00D07535"/>
    <w:rsid w:val="00D07C22"/>
    <w:rsid w:val="00D12033"/>
    <w:rsid w:val="00D12987"/>
    <w:rsid w:val="00D132E4"/>
    <w:rsid w:val="00D216A0"/>
    <w:rsid w:val="00D31A8E"/>
    <w:rsid w:val="00D33885"/>
    <w:rsid w:val="00D3449F"/>
    <w:rsid w:val="00D34F4F"/>
    <w:rsid w:val="00D358B0"/>
    <w:rsid w:val="00D35C91"/>
    <w:rsid w:val="00D37F75"/>
    <w:rsid w:val="00D440FF"/>
    <w:rsid w:val="00D54633"/>
    <w:rsid w:val="00D557A9"/>
    <w:rsid w:val="00D60D19"/>
    <w:rsid w:val="00D613A0"/>
    <w:rsid w:val="00D722C7"/>
    <w:rsid w:val="00D72944"/>
    <w:rsid w:val="00D745A6"/>
    <w:rsid w:val="00D7598A"/>
    <w:rsid w:val="00D773EA"/>
    <w:rsid w:val="00D83E23"/>
    <w:rsid w:val="00D86187"/>
    <w:rsid w:val="00D86649"/>
    <w:rsid w:val="00D87266"/>
    <w:rsid w:val="00D90288"/>
    <w:rsid w:val="00D94FA2"/>
    <w:rsid w:val="00D9688B"/>
    <w:rsid w:val="00D973D4"/>
    <w:rsid w:val="00D97FDA"/>
    <w:rsid w:val="00DA17AC"/>
    <w:rsid w:val="00DA684A"/>
    <w:rsid w:val="00DB7DD9"/>
    <w:rsid w:val="00DC1132"/>
    <w:rsid w:val="00DD0CA4"/>
    <w:rsid w:val="00DD7847"/>
    <w:rsid w:val="00DE19D2"/>
    <w:rsid w:val="00DE1BA2"/>
    <w:rsid w:val="00DE741E"/>
    <w:rsid w:val="00DF0CE5"/>
    <w:rsid w:val="00DF2178"/>
    <w:rsid w:val="00DF7001"/>
    <w:rsid w:val="00E00E45"/>
    <w:rsid w:val="00E02B8F"/>
    <w:rsid w:val="00E055CF"/>
    <w:rsid w:val="00E10A0D"/>
    <w:rsid w:val="00E11C9F"/>
    <w:rsid w:val="00E20576"/>
    <w:rsid w:val="00E213B4"/>
    <w:rsid w:val="00E22EBB"/>
    <w:rsid w:val="00E2321F"/>
    <w:rsid w:val="00E31567"/>
    <w:rsid w:val="00E410FE"/>
    <w:rsid w:val="00E42CB5"/>
    <w:rsid w:val="00E42D37"/>
    <w:rsid w:val="00E45E36"/>
    <w:rsid w:val="00E51890"/>
    <w:rsid w:val="00E52F8B"/>
    <w:rsid w:val="00E57DDA"/>
    <w:rsid w:val="00E63053"/>
    <w:rsid w:val="00E64C5D"/>
    <w:rsid w:val="00E71058"/>
    <w:rsid w:val="00E72A2E"/>
    <w:rsid w:val="00E73CF5"/>
    <w:rsid w:val="00E7539B"/>
    <w:rsid w:val="00E75FAE"/>
    <w:rsid w:val="00E76F15"/>
    <w:rsid w:val="00E775C8"/>
    <w:rsid w:val="00E816D2"/>
    <w:rsid w:val="00E82321"/>
    <w:rsid w:val="00E84E6D"/>
    <w:rsid w:val="00E84F36"/>
    <w:rsid w:val="00E87BE6"/>
    <w:rsid w:val="00E902B3"/>
    <w:rsid w:val="00E91CC1"/>
    <w:rsid w:val="00E93C2C"/>
    <w:rsid w:val="00E94121"/>
    <w:rsid w:val="00EA07E0"/>
    <w:rsid w:val="00EA3516"/>
    <w:rsid w:val="00EA4A38"/>
    <w:rsid w:val="00EA551F"/>
    <w:rsid w:val="00EB11F7"/>
    <w:rsid w:val="00EB305C"/>
    <w:rsid w:val="00EB58D2"/>
    <w:rsid w:val="00EB5F57"/>
    <w:rsid w:val="00EB777E"/>
    <w:rsid w:val="00EE15B5"/>
    <w:rsid w:val="00EE40D0"/>
    <w:rsid w:val="00EE6534"/>
    <w:rsid w:val="00EF1F5E"/>
    <w:rsid w:val="00EF3EDB"/>
    <w:rsid w:val="00EF7262"/>
    <w:rsid w:val="00F005DC"/>
    <w:rsid w:val="00F04C2B"/>
    <w:rsid w:val="00F232E3"/>
    <w:rsid w:val="00F236EF"/>
    <w:rsid w:val="00F318EA"/>
    <w:rsid w:val="00F364E2"/>
    <w:rsid w:val="00F45F5D"/>
    <w:rsid w:val="00F54746"/>
    <w:rsid w:val="00F570CD"/>
    <w:rsid w:val="00F57A68"/>
    <w:rsid w:val="00F62A01"/>
    <w:rsid w:val="00F64DE7"/>
    <w:rsid w:val="00F67C8F"/>
    <w:rsid w:val="00F71A8C"/>
    <w:rsid w:val="00F7458A"/>
    <w:rsid w:val="00F81233"/>
    <w:rsid w:val="00F81BF8"/>
    <w:rsid w:val="00F843FE"/>
    <w:rsid w:val="00F855B3"/>
    <w:rsid w:val="00F91CD6"/>
    <w:rsid w:val="00F939AF"/>
    <w:rsid w:val="00F941A9"/>
    <w:rsid w:val="00FA3A68"/>
    <w:rsid w:val="00FB0731"/>
    <w:rsid w:val="00FB1386"/>
    <w:rsid w:val="00FB4407"/>
    <w:rsid w:val="00FC0BD1"/>
    <w:rsid w:val="00FC52F7"/>
    <w:rsid w:val="00FD38B4"/>
    <w:rsid w:val="00FD7B4E"/>
    <w:rsid w:val="00FE6216"/>
    <w:rsid w:val="00FF47BA"/>
    <w:rsid w:val="00FF6DDC"/>
    <w:rsid w:val="0368451B"/>
    <w:rsid w:val="0E0E2B4F"/>
    <w:rsid w:val="1E8555C1"/>
    <w:rsid w:val="712C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unhideWhenUsed/>
    <w:uiPriority w:val="99"/>
    <w:rPr>
      <w:szCs w:val="21"/>
    </w:rPr>
  </w:style>
  <w:style w:type="paragraph" w:styleId="3">
    <w:name w:val="Body Text Indent"/>
    <w:basedOn w:val="1"/>
    <w:link w:val="24"/>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link w:val="25"/>
    <w:unhideWhenUsed/>
    <w:uiPriority w:val="0"/>
    <w:pPr>
      <w:ind w:firstLine="420" w:firstLineChars="200"/>
    </w:pPr>
  </w:style>
  <w:style w:type="character" w:styleId="10">
    <w:name w:val="Strong"/>
    <w:basedOn w:val="9"/>
    <w:qFormat/>
    <w:uiPriority w:val="0"/>
    <w:rPr>
      <w:b/>
      <w:bCs/>
    </w:rPr>
  </w:style>
  <w:style w:type="character" w:styleId="11">
    <w:name w:val="page number"/>
    <w:basedOn w:val="9"/>
    <w:uiPriority w:val="0"/>
  </w:style>
  <w:style w:type="character" w:styleId="12">
    <w:name w:val="Emphasis"/>
    <w:basedOn w:val="9"/>
    <w:qFormat/>
    <w:uiPriority w:val="99"/>
    <w:rPr>
      <w:rFonts w:ascii="仿宋_GB2312" w:eastAsia="仿宋_GB2312" w:cs="Times New Roman"/>
      <w:b/>
      <w:iCs/>
      <w:spacing w:val="0"/>
      <w:sz w:val="32"/>
    </w:rPr>
  </w:style>
  <w:style w:type="character" w:styleId="13">
    <w:name w:val="Hyperlink"/>
    <w:basedOn w:val="9"/>
    <w:uiPriority w:val="0"/>
    <w:rPr>
      <w:color w:val="0000FF"/>
      <w:u w:val="single"/>
    </w:rPr>
  </w:style>
  <w:style w:type="paragraph" w:customStyle="1" w:styleId="14">
    <w:name w:val="Char Char Char Char Char Char Char Char Char Char Char Char Char Char Char Char"/>
    <w:basedOn w:val="1"/>
    <w:uiPriority w:val="0"/>
    <w:pPr>
      <w:tabs>
        <w:tab w:val="left" w:pos="360"/>
      </w:tabs>
    </w:pPr>
    <w:rPr>
      <w:szCs w:val="20"/>
    </w:rPr>
  </w:style>
  <w:style w:type="paragraph" w:customStyle="1" w:styleId="15">
    <w:name w:val="列出段落1"/>
    <w:basedOn w:val="1"/>
    <w:qFormat/>
    <w:uiPriority w:val="99"/>
    <w:pPr>
      <w:ind w:firstLine="420" w:firstLineChars="200"/>
    </w:pPr>
    <w:rPr>
      <w:rFonts w:eastAsia="仿宋_GB2312"/>
      <w:sz w:val="32"/>
    </w:rPr>
  </w:style>
  <w:style w:type="character" w:customStyle="1" w:styleId="16">
    <w:name w:val="text1"/>
    <w:basedOn w:val="9"/>
    <w:uiPriority w:val="0"/>
    <w:rPr>
      <w:rFonts w:hint="eastAsia" w:ascii="宋体" w:hAnsi="宋体" w:eastAsia="宋体"/>
      <w:color w:val="000000"/>
      <w:spacing w:val="15"/>
      <w:sz w:val="21"/>
      <w:szCs w:val="21"/>
    </w:rPr>
  </w:style>
  <w:style w:type="paragraph" w:styleId="17">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8">
    <w:name w:val="列出段落2"/>
    <w:basedOn w:val="1"/>
    <w:uiPriority w:val="99"/>
    <w:pPr>
      <w:ind w:firstLine="420" w:firstLineChars="200"/>
    </w:pPr>
    <w:rPr>
      <w:szCs w:val="22"/>
    </w:rPr>
  </w:style>
  <w:style w:type="paragraph" w:customStyle="1" w:styleId="19">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List Paragraph1"/>
    <w:basedOn w:val="1"/>
    <w:qFormat/>
    <w:uiPriority w:val="0"/>
    <w:pPr>
      <w:ind w:firstLine="420" w:firstLineChars="200"/>
    </w:pPr>
    <w:rPr>
      <w:rFonts w:ascii="Calibri" w:hAnsi="Calibri"/>
      <w:szCs w:val="22"/>
    </w:rPr>
  </w:style>
  <w:style w:type="paragraph" w:customStyle="1" w:styleId="21">
    <w:name w:val="Char Char1"/>
    <w:basedOn w:val="1"/>
    <w:uiPriority w:val="99"/>
    <w:rPr>
      <w:szCs w:val="20"/>
    </w:rPr>
  </w:style>
  <w:style w:type="character" w:customStyle="1" w:styleId="22">
    <w:name w:val="apple-converted-space"/>
    <w:basedOn w:val="9"/>
    <w:uiPriority w:val="0"/>
  </w:style>
  <w:style w:type="character" w:customStyle="1" w:styleId="23">
    <w:name w:val="正文文本 Char"/>
    <w:basedOn w:val="9"/>
    <w:link w:val="2"/>
    <w:uiPriority w:val="99"/>
    <w:rPr>
      <w:kern w:val="2"/>
      <w:sz w:val="21"/>
      <w:szCs w:val="21"/>
    </w:rPr>
  </w:style>
  <w:style w:type="character" w:customStyle="1" w:styleId="24">
    <w:name w:val="正文文本缩进 Char"/>
    <w:basedOn w:val="9"/>
    <w:link w:val="3"/>
    <w:uiPriority w:val="0"/>
    <w:rPr>
      <w:kern w:val="2"/>
      <w:sz w:val="21"/>
      <w:szCs w:val="24"/>
    </w:rPr>
  </w:style>
  <w:style w:type="character" w:customStyle="1" w:styleId="25">
    <w:name w:val="正文首行缩进 2 Char"/>
    <w:basedOn w:val="24"/>
    <w:link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5928D2-574D-42C7-B835-6E7187C38C6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912</Words>
  <Characters>5201</Characters>
  <Lines>43</Lines>
  <Paragraphs>12</Paragraphs>
  <TotalTime>728</TotalTime>
  <ScaleCrop>false</ScaleCrop>
  <LinksUpToDate>false</LinksUpToDate>
  <CharactersWithSpaces>6101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2020-12-09T06:48:00Z</dcterms:created>
  <dc:creator>Administrator</dc:creator>
  <cp:lastModifiedBy>宸</cp:lastModifiedBy>
  <cp:lastPrinted>2021-04-12T03:28:00Z</cp:lastPrinted>
  <dcterms:modified xsi:type="dcterms:W3CDTF">2022-05-30T06:56:48Z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